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178</w:t>
      </w:r>
    </w:p>
    <w:p>
      <w:r>
        <w:t>Bundesgericht (BGE), 1978-11-08, DE</w:t>
      </w:r>
    </w:p>
    <w:p>
      <w:r>
        <w:rPr>
          <w:b/>
        </w:rPr>
        <w:t xml:space="preserve">Quelle: </w:t>
      </w:r>
      <w:r>
        <w:t>https://mcp.opencaselaw.ch/entscheid/bge_104 V 178</w:t>
      </w:r>
    </w:p>
    <w:p>
      <w:r>
        <w:t>FR: ATF 104 V 178</w:t>
      </w:r>
    </w:p>
    <w:p>
      <w:r>
        <w:t>IT: DTF 104 V 178</w:t>
      </w:r>
    </w:p>
    <w:p>
      <w:pPr>
        <w:pStyle w:val="Heading2"/>
      </w:pPr>
      <w:r>
        <w:t>Regeste</w:t>
      </w:r>
    </w:p>
    <w:p>
      <w:r>
        <w:t>Regeste Art. 85 Abs. 2 lit. b AHVG. Anforderungen an die Beschwerdeschrift im erstinstanzlichen Beschwerdeverfahren.</w:t>
      </w:r>
    </w:p>
    <w:p>
      <w:pPr>
        <w:pStyle w:val="Heading2"/>
      </w:pPr>
      <w:r>
        <w:t>Volltext</w:t>
      </w:r>
    </w:p>
    <w:p>
      <w:r>
        <w:t>Urteilskopf 104 V 178 43. Auszug aus dem Urteil vom 8. November 1978 i.S. Lanza gegen Ausgleichskasse des Kantons Zürich und AHV-Rekurskommission des Kantons Zürich Regeste Art. 85 Abs. 2 lit. b AHVG . Anforderungen an die Beschwerdeschrift im erstinstanzlichen Beschwerdeverfahren. Erwägungen ab Seite 178 BGE 104 V 178 S. 178 Aus den Erwägungen: Nach Art. 108 Abs. 2 OG hat die Beschwerdeschrift unter anderem die Begehren und deren Begründung zu enthalten. Lassen die Begehren oder die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Eidg. Versicherungsgericht ausgeschlossen, wenn die Beschwerde überhaupt keine Begehren oder Begründung enthält. Diese müssen - wenn auch nur summarisch - innerhalb der Frist von Art. 106 Abs. 1 OG eingereicht werden ( BGE 101 V 17 ). Auf das Verfahren vor erster Instanz sind nach Art. 69 IVG die Art. 84-86 AHVG sinngemäss anwendbar. Nach Art. 85 Abs. 2 lit. b AHVG muss die Beschwerde eine gedrängte Darstellung des Sachverhalts, ein Rechtsbegehren und eine kurze Begründung enthalten; wenn eine Beschwerde diesen BGE 104 V 178 S. 179 Anforderungen nicht genügt, hat die Rekursbehörde eine angemessene Frist zur Verbesserung anzusetzen mit der Androhung, dass sonst auf die Beschwerde nicht eingetreten werde. Im erstinstanzlichen Beschwerdeverfahren hat demnach die Fristansetzung zur Verbesserung der Beschwerde - im Gegensatz zum Verfahren nach Art. 108 OG - nicht nur bei Unklarheit des Begehrens oder der Begründung zu erfolgen, sondern ganz allgemein immer dann, wenn die Beschwerde den gesetzlichen Anforderungen nicht genügt. Es handelt sich um eine formelle Vorschrift, die den erstinstanzlichen Richter - ausser in Fällen von offensichtlichem Rechtsmissbrauch - verpflichtet, eine Frist zur Verbesserung der Mängel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